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B102" w14:textId="0DE2B41A" w:rsidR="00346006" w:rsidRPr="00EA375C" w:rsidRDefault="00346006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Изменения в методологиях</w:t>
      </w:r>
    </w:p>
    <w:p w14:paraId="4D240CA8" w14:textId="77777777" w:rsidR="00346006" w:rsidRPr="00EA375C" w:rsidRDefault="00346006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0FD0" w14:textId="15BAB94D" w:rsidR="00271C95" w:rsidRPr="00EA375C" w:rsidRDefault="00346006" w:rsidP="0034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271C95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271C95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</w:t>
      </w:r>
      <w:r w:rsidR="000D27B5" w:rsidRPr="00EA375C">
        <w:rPr>
          <w:rFonts w:ascii="Times New Roman" w:hAnsi="Times New Roman" w:cs="Times New Roman"/>
          <w:b/>
          <w:sz w:val="24"/>
          <w:szCs w:val="24"/>
        </w:rPr>
        <w:t xml:space="preserve"> банкам (Республика</w:t>
      </w:r>
      <w:r w:rsidRPr="00EA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B5" w:rsidRPr="00EA375C">
        <w:rPr>
          <w:rFonts w:ascii="Times New Roman" w:hAnsi="Times New Roman" w:cs="Times New Roman"/>
          <w:b/>
          <w:sz w:val="24"/>
          <w:szCs w:val="24"/>
        </w:rPr>
        <w:t>Казахстан)</w:t>
      </w:r>
    </w:p>
    <w:p w14:paraId="70B25C3A" w14:textId="05891CD4" w:rsidR="0023467E" w:rsidRPr="00EA375C" w:rsidRDefault="0023467E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D5EA9" w14:textId="052ED8E5" w:rsidR="0023467E" w:rsidRPr="00EA375C" w:rsidRDefault="0023467E" w:rsidP="00E13B31">
      <w:pPr>
        <w:pStyle w:val="a5"/>
        <w:numPr>
          <w:ilvl w:val="0"/>
          <w:numId w:val="18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«Рейтинг </w:t>
      </w:r>
      <w:r w:rsidR="00903437" w:rsidRPr="00EA375C">
        <w:rPr>
          <w:rFonts w:ascii="Times New Roman" w:hAnsi="Times New Roman" w:cs="Times New Roman"/>
          <w:spacing w:val="2"/>
          <w:sz w:val="24"/>
          <w:szCs w:val="24"/>
        </w:rPr>
        <w:t>самостоятельной</w:t>
      </w:r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 кредитоспособности» заменен на «оценка </w:t>
      </w:r>
      <w:r w:rsidR="008A4146" w:rsidRPr="00EA375C">
        <w:rPr>
          <w:rFonts w:ascii="Times New Roman" w:hAnsi="Times New Roman" w:cs="Times New Roman"/>
          <w:spacing w:val="2"/>
          <w:sz w:val="24"/>
          <w:szCs w:val="24"/>
        </w:rPr>
        <w:t>собственной</w:t>
      </w:r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 кредитоспособности».</w:t>
      </w:r>
    </w:p>
    <w:p w14:paraId="13756E70" w14:textId="1D6CEA49" w:rsidR="0023467E" w:rsidRPr="00EA375C" w:rsidRDefault="0023467E" w:rsidP="00E13B31">
      <w:pPr>
        <w:pStyle w:val="a5"/>
        <w:numPr>
          <w:ilvl w:val="0"/>
          <w:numId w:val="18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второй части сделки прямого РЕПО.</w:t>
      </w:r>
    </w:p>
    <w:p w14:paraId="1B1A6787" w14:textId="77777777" w:rsidR="0023467E" w:rsidRPr="00EA375C" w:rsidRDefault="0023467E" w:rsidP="00E13B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5F02594B" w14:textId="77777777" w:rsidR="0023467E" w:rsidRPr="00EA375C" w:rsidRDefault="0023467E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78287560" w14:textId="77777777" w:rsidR="0023467E" w:rsidRPr="00EA375C" w:rsidRDefault="0023467E" w:rsidP="00E13B31">
      <w:pPr>
        <w:pStyle w:val="a5"/>
        <w:numPr>
          <w:ilvl w:val="0"/>
          <w:numId w:val="18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В факторе «Деловая репутация»:</w:t>
      </w:r>
    </w:p>
    <w:p w14:paraId="432BC9A1" w14:textId="77777777" w:rsidR="0023467E" w:rsidRPr="00EA375C" w:rsidRDefault="0023467E" w:rsidP="00E13B3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дополнено:</w:t>
      </w:r>
    </w:p>
    <w:p w14:paraId="01E2F2BE" w14:textId="77777777" w:rsidR="0023467E" w:rsidRPr="00EA375C" w:rsidRDefault="0023467E" w:rsidP="00E13B31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При анализе события, отвечающего нескольким условиям применения вычета, выбирается пункт с наибольшей корректировкой.</w:t>
      </w:r>
    </w:p>
    <w:p w14:paraId="7A8720E9" w14:textId="77777777" w:rsidR="0023467E" w:rsidRPr="00EA375C" w:rsidRDefault="0023467E" w:rsidP="00E13B3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нижняя граница вычета в ряде критериев изменена с 0,5 до 0,25.</w:t>
      </w:r>
      <w:bookmarkStart w:id="0" w:name="_Hlk508196620"/>
    </w:p>
    <w:p w14:paraId="2D068C33" w14:textId="77777777" w:rsidR="0023467E" w:rsidRPr="00EA375C" w:rsidRDefault="0023467E" w:rsidP="00E13B3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уточнено:</w:t>
      </w:r>
    </w:p>
    <w:p w14:paraId="6F3D4D2D" w14:textId="7CC8BBD8" w:rsidR="0023467E" w:rsidRPr="00EA375C" w:rsidRDefault="0023467E" w:rsidP="00E13B31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Оценка фактора «</w:t>
      </w:r>
      <w:r w:rsidR="00346006" w:rsidRPr="00EA375C">
        <w:rPr>
          <w:rFonts w:ascii="Times New Roman" w:hAnsi="Times New Roman" w:cs="Times New Roman"/>
          <w:sz w:val="24"/>
          <w:szCs w:val="24"/>
        </w:rPr>
        <w:t>Д</w:t>
      </w:r>
      <w:r w:rsidRPr="00EA375C">
        <w:rPr>
          <w:rFonts w:ascii="Times New Roman" w:hAnsi="Times New Roman" w:cs="Times New Roman"/>
          <w:sz w:val="24"/>
          <w:szCs w:val="24"/>
        </w:rPr>
        <w:t xml:space="preserve">еловая репутация» ограничивается баллом 0,25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(ранее 0,5),</w:t>
      </w:r>
      <w:r w:rsidRPr="00EA375C">
        <w:rPr>
          <w:rFonts w:ascii="Times New Roman" w:hAnsi="Times New Roman" w:cs="Times New Roman"/>
          <w:sz w:val="24"/>
          <w:szCs w:val="24"/>
        </w:rPr>
        <w:t xml:space="preserve"> даже если сумма вычетов по таблице выше составляет 0 баллов, в случае если у банка нет публичной кредитной истории (рыночных выпусков облигаций).</w:t>
      </w:r>
    </w:p>
    <w:bookmarkEnd w:id="0"/>
    <w:p w14:paraId="6A711A12" w14:textId="77777777" w:rsidR="0023467E" w:rsidRPr="00EA375C" w:rsidRDefault="0023467E" w:rsidP="00E13B31">
      <w:pPr>
        <w:pStyle w:val="a5"/>
        <w:numPr>
          <w:ilvl w:val="0"/>
          <w:numId w:val="18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Фактор «</w:t>
      </w:r>
      <w:bookmarkStart w:id="1" w:name="_Toc459363752"/>
      <w:bookmarkStart w:id="2" w:name="_Toc72999985"/>
      <w:bookmarkStart w:id="3" w:name="_Toc102654240"/>
      <w:r w:rsidRPr="00EA375C">
        <w:rPr>
          <w:rFonts w:ascii="Times New Roman" w:hAnsi="Times New Roman" w:cs="Times New Roman"/>
          <w:spacing w:val="2"/>
          <w:sz w:val="24"/>
          <w:szCs w:val="24"/>
        </w:rPr>
        <w:t>Концентрация кредитных рисков на клиентах</w:t>
      </w:r>
      <w:bookmarkEnd w:id="1"/>
      <w:bookmarkEnd w:id="2"/>
      <w:bookmarkEnd w:id="3"/>
      <w:r w:rsidRPr="00EA375C">
        <w:rPr>
          <w:rFonts w:ascii="Times New Roman" w:hAnsi="Times New Roman" w:cs="Times New Roman"/>
          <w:spacing w:val="2"/>
          <w:sz w:val="24"/>
          <w:szCs w:val="24"/>
        </w:rPr>
        <w:t>» дополнен:</w:t>
      </w:r>
    </w:p>
    <w:p w14:paraId="10020B7E" w14:textId="77777777" w:rsidR="0023467E" w:rsidRPr="00EA375C" w:rsidRDefault="0023467E" w:rsidP="006335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397FAA47" w14:textId="77777777" w:rsidR="0023467E" w:rsidRPr="00EA375C" w:rsidRDefault="0023467E" w:rsidP="006335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Балл по фактору «Концентрация кредитных рисков на клиентах» </w:t>
      </w:r>
      <w:bookmarkStart w:id="4" w:name="_Hlk102654049"/>
      <w:r w:rsidRPr="00EA375C">
        <w:rPr>
          <w:rFonts w:ascii="Times New Roman" w:hAnsi="Times New Roman" w:cs="Times New Roman"/>
          <w:spacing w:val="2"/>
          <w:sz w:val="24"/>
          <w:szCs w:val="24"/>
        </w:rPr>
        <w:t>может быть снижен вплоть до -1</w:t>
      </w:r>
      <w:bookmarkEnd w:id="4"/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A375C">
        <w:rPr>
          <w:rFonts w:ascii="Times New Roman" w:hAnsi="Times New Roman" w:cs="Times New Roman"/>
          <w:b/>
          <w:bCs/>
          <w:spacing w:val="2"/>
          <w:sz w:val="24"/>
          <w:szCs w:val="24"/>
        </w:rPr>
        <w:t>если за последние 12 месяцев банк допускал нарушение, и/или ожидается нарушение нормативов концентрации риска в ближайшее время (или на горизонте действия рейтинга), и это повышает риски применения регулятивных мер воздействия</w:t>
      </w:r>
      <w:r w:rsidRPr="00EA375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A375C" w:rsidDel="008C5F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2C10CEFB" w14:textId="77777777" w:rsidR="0023467E" w:rsidRPr="00EA375C" w:rsidRDefault="0023467E" w:rsidP="00E13B31">
      <w:pPr>
        <w:pStyle w:val="a5"/>
        <w:numPr>
          <w:ilvl w:val="0"/>
          <w:numId w:val="18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В факторе «Стратегическое обеспечение» обновлен критерий:</w:t>
      </w:r>
    </w:p>
    <w:p w14:paraId="1BE13C8A" w14:textId="4E4A8F16" w:rsidR="0023467E" w:rsidRPr="00EA375C" w:rsidRDefault="0023467E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Действующая редакция:</w:t>
      </w:r>
    </w:p>
    <w:p w14:paraId="2ADC4D4E" w14:textId="77777777" w:rsidR="0023467E" w:rsidRPr="00EA375C" w:rsidRDefault="0023467E" w:rsidP="00E13B3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Банк имеет в наличии все необходимые стратегические документы (поквартальный финансовый план на год, детализированная по годам стратегия развития на три-пять лет);</w:t>
      </w:r>
    </w:p>
    <w:p w14:paraId="50D9152F" w14:textId="77777777" w:rsidR="00F5000E" w:rsidRPr="00EA375C" w:rsidRDefault="00F5000E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8E74A3" w14:textId="0DECCF4A" w:rsidR="0023467E" w:rsidRPr="00EA375C" w:rsidRDefault="0023467E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541D801C" w14:textId="77777777" w:rsidR="0023467E" w:rsidRPr="00EA375C" w:rsidRDefault="0023467E" w:rsidP="00E13B3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Банк имеет в наличии необходимые стратегические документы (например, среднесрочная и/или долгосрочная стратегия, поквартальный финансовый план на год и так далее.)</w:t>
      </w:r>
    </w:p>
    <w:p w14:paraId="0AC8856C" w14:textId="3D4FAAFF" w:rsidR="0023467E" w:rsidRPr="00EA375C" w:rsidRDefault="0023467E" w:rsidP="00E13B31">
      <w:pPr>
        <w:pStyle w:val="a5"/>
        <w:numPr>
          <w:ilvl w:val="0"/>
          <w:numId w:val="18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Технические правки</w:t>
      </w:r>
      <w:r w:rsidR="00633562" w:rsidRPr="00EA375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3E806A4" w14:textId="76F0A67D" w:rsidR="0023467E" w:rsidRPr="00EA375C" w:rsidRDefault="0023467E" w:rsidP="00E13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2FFAA1" w14:textId="10AEB7A6" w:rsidR="00BD71B6" w:rsidRPr="00EA375C" w:rsidRDefault="00BD71B6" w:rsidP="00E13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AF01B" w14:textId="79D1C9EF" w:rsidR="003E0334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3E0334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3E0334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банкам (Республика Беларусь)</w:t>
      </w:r>
    </w:p>
    <w:p w14:paraId="087A0B13" w14:textId="77777777" w:rsidR="004C74B9" w:rsidRPr="00EA375C" w:rsidRDefault="004C74B9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A3411" w14:textId="04DB8DFF" w:rsidR="003E0334" w:rsidRPr="00EA375C" w:rsidRDefault="003E0334" w:rsidP="00E13B31">
      <w:pPr>
        <w:pStyle w:val="a5"/>
        <w:numPr>
          <w:ilvl w:val="0"/>
          <w:numId w:val="24"/>
        </w:num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«Рейтинг самостоятельной кредитоспособности» заменен на «оценка собственной кредитоспособности».</w:t>
      </w:r>
    </w:p>
    <w:p w14:paraId="6CEC5E78" w14:textId="7664C157" w:rsidR="003E0334" w:rsidRPr="00EA375C" w:rsidRDefault="003E0334" w:rsidP="00E13B31">
      <w:pPr>
        <w:pStyle w:val="a5"/>
        <w:numPr>
          <w:ilvl w:val="0"/>
          <w:numId w:val="24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второй части сделки прямого РЕПО.</w:t>
      </w:r>
    </w:p>
    <w:p w14:paraId="42F109D2" w14:textId="77777777" w:rsidR="003E0334" w:rsidRPr="00EA375C" w:rsidRDefault="003E0334" w:rsidP="00E13B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34128A3E" w14:textId="77777777" w:rsidR="003E0334" w:rsidRPr="00EA375C" w:rsidRDefault="003E0334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464E34E7" w14:textId="77777777" w:rsidR="003E0334" w:rsidRPr="00EA375C" w:rsidRDefault="003E0334" w:rsidP="00E13B31">
      <w:pPr>
        <w:pStyle w:val="a5"/>
        <w:numPr>
          <w:ilvl w:val="0"/>
          <w:numId w:val="24"/>
        </w:num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 факторе «Деловая репутация» </w:t>
      </w:r>
      <w:r w:rsidRPr="00EA375C">
        <w:rPr>
          <w:rFonts w:ascii="Times New Roman" w:hAnsi="Times New Roman" w:cs="Times New Roman"/>
          <w:sz w:val="24"/>
          <w:szCs w:val="24"/>
        </w:rPr>
        <w:t>нижняя граница вычета в ряде критериев изменена с 0,5 до 0,25.</w:t>
      </w:r>
    </w:p>
    <w:p w14:paraId="41506D97" w14:textId="77777777" w:rsidR="003E0334" w:rsidRPr="00EA375C" w:rsidRDefault="003E0334" w:rsidP="00E13B31">
      <w:pPr>
        <w:pStyle w:val="a5"/>
        <w:numPr>
          <w:ilvl w:val="0"/>
          <w:numId w:val="24"/>
        </w:num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«Достаточность и качество капитала» дополнен:</w:t>
      </w:r>
    </w:p>
    <w:p w14:paraId="36DF442C" w14:textId="77777777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Действующая редакция:</w:t>
      </w:r>
    </w:p>
    <w:p w14:paraId="2E4726A6" w14:textId="77777777" w:rsidR="003E0334" w:rsidRPr="00EA375C" w:rsidRDefault="003E0334" w:rsidP="006335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Если, по мнению Агентства, велик риск нарушения нормативов достаточно капитала, установленных национальным регулятором, балл может быть снижен вплоть до -1. </w:t>
      </w:r>
    </w:p>
    <w:p w14:paraId="36C25EBD" w14:textId="77777777" w:rsidR="00633562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27FE6" w14:textId="1797D490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47119357" w14:textId="77777777" w:rsidR="003E0334" w:rsidRPr="00EA375C" w:rsidRDefault="003E0334" w:rsidP="006335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Балл за достаточность и качество капитала может ограничиваться -1, если за последние 12 месяцев банк допускал нарушение, и/или ожидается нарушение регулятивных нормативов достаточности капитала в ближайшее время (или на горизонте действия рейтинга), и это повышает риски применения регулятивных мер воздействия.</w:t>
      </w:r>
    </w:p>
    <w:p w14:paraId="084E42F5" w14:textId="77777777" w:rsidR="003E0334" w:rsidRPr="00EA375C" w:rsidRDefault="003E0334" w:rsidP="00E13B31">
      <w:pPr>
        <w:pStyle w:val="a5"/>
        <w:numPr>
          <w:ilvl w:val="0"/>
          <w:numId w:val="24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Фактор «Концентрация кредитных рисков на клиентах» дополнен:</w:t>
      </w:r>
    </w:p>
    <w:p w14:paraId="3D6B5605" w14:textId="77777777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59CFCD50" w14:textId="77777777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Балл по фактору «Концентрация кредитных рисков на клиентах» может быть снижен вплоть до -1, </w:t>
      </w:r>
      <w:r w:rsidRPr="00EA375C">
        <w:rPr>
          <w:rFonts w:ascii="Times New Roman" w:hAnsi="Times New Roman" w:cs="Times New Roman"/>
          <w:b/>
          <w:bCs/>
          <w:spacing w:val="2"/>
          <w:sz w:val="24"/>
          <w:szCs w:val="24"/>
        </w:rPr>
        <w:t>если за последние 12 месяцев банк допускал нарушение, и/или ожидается нарушение нормативов концентрации риска в ближайшее время (или на горизонте действия рейтинга), и это повышает риски применения регулятивных мер воздействия</w:t>
      </w:r>
      <w:r w:rsidRPr="00EA375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A375C" w:rsidDel="008C5F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89ED2DF" w14:textId="77777777" w:rsidR="003E0334" w:rsidRPr="00EA375C" w:rsidRDefault="003E0334" w:rsidP="00E13B31">
      <w:pPr>
        <w:pStyle w:val="a5"/>
        <w:numPr>
          <w:ilvl w:val="0"/>
          <w:numId w:val="24"/>
        </w:numPr>
        <w:spacing w:after="0" w:line="240" w:lineRule="auto"/>
        <w:ind w:left="3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В факторе «Стратегическое обеспечение» обновлен критерий:</w:t>
      </w:r>
    </w:p>
    <w:p w14:paraId="0913DDF0" w14:textId="77777777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Действующая редакция:</w:t>
      </w:r>
    </w:p>
    <w:p w14:paraId="5A35EA72" w14:textId="77777777" w:rsidR="003E0334" w:rsidRPr="00EA375C" w:rsidRDefault="003E0334" w:rsidP="00E13B3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Банк имеет в наличии все необходимые стратегические документы (поквартальный финансовый план на год, детализированная по годам стратегия развития на три-пять лет);</w:t>
      </w:r>
    </w:p>
    <w:p w14:paraId="76D02A1C" w14:textId="77777777" w:rsidR="00633562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700256" w14:textId="366C60F3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21167ECD" w14:textId="77777777" w:rsidR="003E0334" w:rsidRPr="00EA375C" w:rsidRDefault="003E0334" w:rsidP="00E13B3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>Банк имеет в наличии необходимые стратегические документы (например, среднесрочная и/или долгосрочная стратегия, поквартальный финансовый план на год и так далее.)</w:t>
      </w:r>
    </w:p>
    <w:p w14:paraId="770B44FA" w14:textId="4D078B87" w:rsidR="003E0334" w:rsidRPr="00EA375C" w:rsidRDefault="003E0334" w:rsidP="0063356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5" w:name="_Hlk71720396"/>
      <w:r w:rsidRPr="00EA375C">
        <w:rPr>
          <w:rFonts w:ascii="Times New Roman" w:hAnsi="Times New Roman" w:cs="Times New Roman"/>
          <w:spacing w:val="2"/>
          <w:sz w:val="24"/>
          <w:szCs w:val="24"/>
        </w:rPr>
        <w:t>Внутренний стресс-фактор активно-пассивных операций</w:t>
      </w:r>
      <w:bookmarkEnd w:id="5"/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bookmarkStart w:id="6" w:name="_Hlk71721855"/>
      <w:r w:rsidR="00D1787E" w:rsidRPr="00EA375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A375C">
        <w:rPr>
          <w:rFonts w:ascii="Times New Roman" w:hAnsi="Times New Roman" w:cs="Times New Roman"/>
          <w:spacing w:val="2"/>
          <w:sz w:val="24"/>
          <w:szCs w:val="24"/>
        </w:rPr>
        <w:t>нутренний стресс-фактор ресурсной базы</w:t>
      </w:r>
      <w:bookmarkEnd w:id="6"/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 дополнены с</w:t>
      </w:r>
      <w:r w:rsidR="00D1787E" w:rsidRPr="00EA375C">
        <w:rPr>
          <w:rFonts w:ascii="Times New Roman" w:hAnsi="Times New Roman" w:cs="Times New Roman"/>
          <w:spacing w:val="2"/>
          <w:sz w:val="24"/>
          <w:szCs w:val="24"/>
        </w:rPr>
        <w:t>ноской</w:t>
      </w:r>
      <w:r w:rsidRPr="00EA375C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14:paraId="0662281B" w14:textId="77777777" w:rsidR="003E0334" w:rsidRPr="00EA375C" w:rsidRDefault="003E0334" w:rsidP="006335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Стресс-фактор используется, если в связи с выявленными признаками повышаются риски применения мер регулятивного воздействия.</w:t>
      </w:r>
    </w:p>
    <w:p w14:paraId="7877179E" w14:textId="767CDB22" w:rsidR="003E0334" w:rsidRPr="00EA375C" w:rsidRDefault="003E0334" w:rsidP="00E13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EE0C4" w14:textId="7A318795" w:rsidR="0023467E" w:rsidRPr="00EA375C" w:rsidRDefault="0023467E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63995" w14:textId="164185D5" w:rsidR="0000219C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00219C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00219C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микрофинансовым компаниям</w:t>
      </w:r>
    </w:p>
    <w:p w14:paraId="668BC6F1" w14:textId="044127C3" w:rsidR="0000219C" w:rsidRPr="00EA375C" w:rsidRDefault="00572018" w:rsidP="00E13B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1B5C0623" w14:textId="77777777" w:rsidR="0000219C" w:rsidRPr="00EA375C" w:rsidRDefault="0000219C" w:rsidP="0063356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3464267C" w14:textId="13AED984" w:rsidR="0000219C" w:rsidRPr="00EA375C" w:rsidRDefault="0000219C" w:rsidP="0063356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0D1C3356" w14:textId="181ECD70" w:rsidR="00BD71B6" w:rsidRPr="00EA375C" w:rsidRDefault="00BD71B6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 xml:space="preserve">Обновленная редакция: </w:t>
      </w:r>
    </w:p>
    <w:p w14:paraId="0DEA255D" w14:textId="796370F0" w:rsidR="00BD71B6" w:rsidRPr="00EA375C" w:rsidRDefault="00BD71B6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0CDFBF2A" w14:textId="134FEFE6" w:rsidR="0000219C" w:rsidRPr="00EA375C" w:rsidRDefault="0000219C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AC17C" w14:textId="77777777" w:rsidR="00E13B31" w:rsidRPr="00EA375C" w:rsidRDefault="00E13B31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F55F7" w14:textId="6D469A6C" w:rsidR="0065512C" w:rsidRPr="00EA375C" w:rsidRDefault="00633562" w:rsidP="00633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65512C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65512C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депозитариям</w:t>
      </w:r>
    </w:p>
    <w:p w14:paraId="4701BBB9" w14:textId="77777777" w:rsidR="0065512C" w:rsidRPr="00EA375C" w:rsidRDefault="0065512C" w:rsidP="00E13B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88B7DA1" w14:textId="77777777" w:rsidR="0065512C" w:rsidRPr="00EA375C" w:rsidRDefault="0065512C" w:rsidP="0063356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0A5F3FAA" w14:textId="77777777" w:rsidR="0065512C" w:rsidRPr="00EA375C" w:rsidRDefault="0065512C" w:rsidP="00633562">
      <w:pPr>
        <w:pStyle w:val="a5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031A1CC0" w14:textId="77777777" w:rsidR="0065512C" w:rsidRPr="00EA375C" w:rsidRDefault="0065512C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Обновленная редакция: </w:t>
      </w:r>
    </w:p>
    <w:p w14:paraId="1BCDA9E0" w14:textId="77777777" w:rsidR="0065512C" w:rsidRPr="00EA375C" w:rsidRDefault="0065512C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7890521A" w14:textId="05DDA1AD" w:rsidR="0065512C" w:rsidRPr="00EA375C" w:rsidRDefault="0065512C" w:rsidP="00633562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Из области применения методологии удалено ограничение </w:t>
      </w:r>
      <w:r w:rsidR="00D00D9A" w:rsidRPr="00EA375C">
        <w:rPr>
          <w:rFonts w:ascii="Times New Roman" w:hAnsi="Times New Roman" w:cs="Times New Roman"/>
          <w:sz w:val="24"/>
          <w:szCs w:val="24"/>
        </w:rPr>
        <w:t>для применения</w:t>
      </w:r>
      <w:r w:rsidRPr="00EA375C">
        <w:rPr>
          <w:rFonts w:ascii="Times New Roman" w:hAnsi="Times New Roman" w:cs="Times New Roman"/>
          <w:sz w:val="24"/>
          <w:szCs w:val="24"/>
        </w:rPr>
        <w:t xml:space="preserve"> методологии для присвоения рейтингов организациям, имеющим банковскую лицензию</w:t>
      </w:r>
      <w:r w:rsidR="00D00D9A" w:rsidRPr="00EA375C">
        <w:rPr>
          <w:rFonts w:ascii="Times New Roman" w:hAnsi="Times New Roman" w:cs="Times New Roman"/>
          <w:sz w:val="24"/>
          <w:szCs w:val="24"/>
        </w:rPr>
        <w:t xml:space="preserve"> («Данная методология не используется для присвоения рейтинга организациям, имеющим банковскую лицензию»)</w:t>
      </w:r>
      <w:r w:rsidRPr="00EA37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C045D1" w14:textId="631A6B14" w:rsidR="0065512C" w:rsidRPr="00EA375C" w:rsidRDefault="0065512C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 xml:space="preserve">Обновленная редакция: </w:t>
      </w:r>
    </w:p>
    <w:p w14:paraId="6962360E" w14:textId="67723366" w:rsidR="0065512C" w:rsidRPr="00EA375C" w:rsidRDefault="0065512C" w:rsidP="00E1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5C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настоящей методологией кредитное рейтинговое агентство АО «Эксперт РА» (далее «Агентство» или «Эксперт РА») присваивает рейтинги кредитоспособности (далее – «кредитный рейтинг» или «рейтинг») депозитариям и спецдепозитариям (далее – «объект рейтинга», ОР, «компания» или «депозитарий/спецдепозитарий»), имеющим соответствующую лицензию Банка России.</w:t>
      </w:r>
    </w:p>
    <w:p w14:paraId="3BFAABBA" w14:textId="77C09AF6" w:rsidR="0065512C" w:rsidRPr="00EA375C" w:rsidRDefault="0065512C" w:rsidP="00E13B3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eastAsia="Times New Roman" w:hAnsi="Times New Roman" w:cs="Times New Roman"/>
          <w:sz w:val="24"/>
          <w:szCs w:val="24"/>
        </w:rPr>
        <w:t xml:space="preserve">Рейтинг по данной методологии присваивается только компаниям, доходы от депозитарной и (или) </w:t>
      </w:r>
      <w:proofErr w:type="spellStart"/>
      <w:r w:rsidRPr="00EA375C">
        <w:rPr>
          <w:rFonts w:ascii="Times New Roman" w:eastAsia="Times New Roman" w:hAnsi="Times New Roman" w:cs="Times New Roman"/>
          <w:sz w:val="24"/>
          <w:szCs w:val="24"/>
        </w:rPr>
        <w:t>спецдепозитарной</w:t>
      </w:r>
      <w:proofErr w:type="spellEnd"/>
      <w:r w:rsidRPr="00EA375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которых составляют не менее 50% выручки компании за последние 4 завершившихся квартала.</w:t>
      </w:r>
    </w:p>
    <w:p w14:paraId="65DA7BF3" w14:textId="3DC5B9E2" w:rsidR="00920CED" w:rsidRPr="00EA375C" w:rsidRDefault="00920CED" w:rsidP="00E13B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78EB4A" w14:textId="77777777" w:rsidR="00633562" w:rsidRPr="00EA375C" w:rsidRDefault="00633562" w:rsidP="00E13B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B685C" w14:textId="4243CABE" w:rsidR="00252AEE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252AEE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252AEE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факторинговым компаниям</w:t>
      </w:r>
    </w:p>
    <w:p w14:paraId="665F645E" w14:textId="77777777" w:rsidR="00252AEE" w:rsidRPr="00EA375C" w:rsidRDefault="00252AEE" w:rsidP="00E13B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49A46E8" w14:textId="77777777" w:rsidR="00252AEE" w:rsidRPr="00EA375C" w:rsidRDefault="00252AEE" w:rsidP="0063356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5D9F2D89" w14:textId="77777777" w:rsidR="00252AEE" w:rsidRPr="00EA375C" w:rsidRDefault="00252AEE" w:rsidP="00633562">
      <w:pPr>
        <w:pStyle w:val="a5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3EA2D954" w14:textId="77777777" w:rsidR="00252AEE" w:rsidRPr="00EA375C" w:rsidRDefault="00252AEE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 xml:space="preserve">Обновленная редакция: </w:t>
      </w:r>
    </w:p>
    <w:p w14:paraId="08784F53" w14:textId="77777777" w:rsidR="00252AEE" w:rsidRPr="00EA375C" w:rsidRDefault="00252AEE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592B564D" w14:textId="4633BD61" w:rsidR="0023467E" w:rsidRPr="00EA375C" w:rsidRDefault="0065512C" w:rsidP="00E13B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A3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7A4AB9" w14:textId="77777777" w:rsidR="00920CED" w:rsidRPr="00EA375C" w:rsidRDefault="00920CED" w:rsidP="00E13B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F58DE" w14:textId="0D5DF5EE" w:rsidR="001B59A8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1B59A8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1B59A8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организациям, осуществляющих микрофинансовую деятельность (Республика Казахстан)</w:t>
      </w:r>
    </w:p>
    <w:p w14:paraId="70A131FC" w14:textId="77777777" w:rsidR="001B59A8" w:rsidRPr="00EA375C" w:rsidRDefault="001B59A8" w:rsidP="00E13B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3077BC4" w14:textId="77777777" w:rsidR="001B59A8" w:rsidRPr="00EA375C" w:rsidRDefault="001B59A8" w:rsidP="0063356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01240BB6" w14:textId="77777777" w:rsidR="001B59A8" w:rsidRPr="00EA375C" w:rsidRDefault="001B59A8" w:rsidP="00633562">
      <w:pPr>
        <w:pStyle w:val="a5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5EE2022F" w14:textId="77777777" w:rsidR="001B59A8" w:rsidRPr="00EA375C" w:rsidRDefault="001B59A8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 xml:space="preserve">Обновленная редакция: </w:t>
      </w:r>
    </w:p>
    <w:p w14:paraId="1F7AA057" w14:textId="77777777" w:rsidR="001B59A8" w:rsidRPr="00EA375C" w:rsidRDefault="001B59A8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3E65F1B0" w14:textId="77777777" w:rsidR="001B59A8" w:rsidRPr="00EA375C" w:rsidRDefault="001B59A8" w:rsidP="00633562">
      <w:pPr>
        <w:pStyle w:val="a5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Реализованы технические правки. </w:t>
      </w:r>
    </w:p>
    <w:p w14:paraId="097F990E" w14:textId="6D67C5DD" w:rsidR="001B59A8" w:rsidRPr="00EA375C" w:rsidRDefault="00572018" w:rsidP="00E1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E90B1" w14:textId="77777777" w:rsidR="00633562" w:rsidRPr="00EA375C" w:rsidRDefault="00633562" w:rsidP="00E1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52A7B" w14:textId="0A72B3C8" w:rsidR="004D04E3" w:rsidRPr="00EA375C" w:rsidRDefault="00633562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4D04E3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4D04E3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нефинансовым компаниям</w:t>
      </w:r>
    </w:p>
    <w:p w14:paraId="48A9C881" w14:textId="77777777" w:rsidR="00920CED" w:rsidRPr="00EA375C" w:rsidRDefault="00920CED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F5C8D" w14:textId="0AAEF3ED" w:rsidR="004D04E3" w:rsidRPr="00EA375C" w:rsidRDefault="004D04E3" w:rsidP="0063356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7C278F7F" w14:textId="08B3B2E5" w:rsidR="004D04E3" w:rsidRPr="00EA375C" w:rsidRDefault="004D04E3" w:rsidP="00633562">
      <w:pPr>
        <w:pStyle w:val="a5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2F184439" w14:textId="77777777" w:rsidR="00E95F4B" w:rsidRPr="00EA375C" w:rsidRDefault="00E95F4B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50FE0D9B" w14:textId="75E058DA" w:rsidR="00E95F4B" w:rsidRPr="00EA375C" w:rsidRDefault="00E95F4B" w:rsidP="0063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74D0750E" w14:textId="51B0F8B0" w:rsidR="004D04E3" w:rsidRPr="00EA375C" w:rsidRDefault="004D04E3" w:rsidP="0063356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Из определения </w:t>
      </w:r>
      <w:proofErr w:type="spellStart"/>
      <w:r w:rsidRPr="00EA375C">
        <w:rPr>
          <w:rFonts w:ascii="Times New Roman" w:hAnsi="Times New Roman" w:cs="Times New Roman"/>
          <w:sz w:val="24"/>
          <w:szCs w:val="24"/>
        </w:rPr>
        <w:t>квазикапитала</w:t>
      </w:r>
      <w:proofErr w:type="spellEnd"/>
      <w:r w:rsidRPr="00EA375C">
        <w:rPr>
          <w:rFonts w:ascii="Times New Roman" w:hAnsi="Times New Roman" w:cs="Times New Roman"/>
          <w:sz w:val="24"/>
          <w:szCs w:val="24"/>
        </w:rPr>
        <w:t xml:space="preserve"> исключена возможность учета письма собственника компании, в котором обозначены планы по финансированию объекта рейтинга, для целей подтверждения субординации обязательств.</w:t>
      </w:r>
    </w:p>
    <w:p w14:paraId="47B114DA" w14:textId="2E002F08" w:rsidR="004D04E3" w:rsidRPr="00EA375C" w:rsidRDefault="004D04E3" w:rsidP="0063356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«Общий уровень долговой нагрузки» дополнен: «В случае, если долг</w:t>
      </w:r>
      <w:r w:rsidR="00EE0F01" w:rsidRPr="00EA375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EA375C">
        <w:rPr>
          <w:rFonts w:ascii="Times New Roman" w:hAnsi="Times New Roman" w:cs="Times New Roman"/>
          <w:sz w:val="24"/>
          <w:szCs w:val="24"/>
        </w:rPr>
        <w:t xml:space="preserve"> рав</w:t>
      </w:r>
      <w:r w:rsidR="00EE0F01" w:rsidRPr="00EA375C">
        <w:rPr>
          <w:rFonts w:ascii="Times New Roman" w:hAnsi="Times New Roman" w:cs="Times New Roman"/>
          <w:sz w:val="24"/>
          <w:szCs w:val="24"/>
        </w:rPr>
        <w:t>ен</w:t>
      </w:r>
      <w:r w:rsidRPr="00EA375C">
        <w:rPr>
          <w:rFonts w:ascii="Times New Roman" w:hAnsi="Times New Roman" w:cs="Times New Roman"/>
          <w:sz w:val="24"/>
          <w:szCs w:val="24"/>
        </w:rPr>
        <w:t xml:space="preserve"> 0, фактор оценивается на 1.».</w:t>
      </w:r>
    </w:p>
    <w:p w14:paraId="2C4E8408" w14:textId="664242CF" w:rsidR="004D04E3" w:rsidRPr="00EA375C" w:rsidRDefault="004D04E3" w:rsidP="00633562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«Общий уровень процентной нагрузки» дополнен: «В случае, если процентные расходы равны 0, фактор оценивается на 1.».</w:t>
      </w:r>
    </w:p>
    <w:p w14:paraId="1709D9CA" w14:textId="54655E07" w:rsidR="00C775F6" w:rsidRPr="00EA375C" w:rsidRDefault="00C775F6" w:rsidP="00E13B3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50D5B" w14:textId="77777777" w:rsidR="00920CED" w:rsidRPr="00EA375C" w:rsidRDefault="00920CED" w:rsidP="00E13B3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5F448" w14:textId="77DB48B3" w:rsidR="00C775F6" w:rsidRPr="00EA375C" w:rsidRDefault="00633562" w:rsidP="00633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C775F6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C775F6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нефинансовым компаниям</w:t>
      </w:r>
      <w:r w:rsidRPr="00EA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5F6" w:rsidRPr="00EA375C">
        <w:rPr>
          <w:rFonts w:ascii="Times New Roman" w:hAnsi="Times New Roman" w:cs="Times New Roman"/>
          <w:b/>
          <w:sz w:val="24"/>
          <w:szCs w:val="24"/>
        </w:rPr>
        <w:t>(Республика Беларусь)</w:t>
      </w:r>
    </w:p>
    <w:p w14:paraId="0EF10067" w14:textId="77777777" w:rsidR="00920CED" w:rsidRPr="00EA375C" w:rsidRDefault="00920CED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93BDB" w14:textId="77777777" w:rsidR="00C775F6" w:rsidRPr="00EA375C" w:rsidRDefault="00C775F6" w:rsidP="0063356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2DCA2843" w14:textId="77777777" w:rsidR="00C775F6" w:rsidRPr="00EA375C" w:rsidRDefault="00C775F6" w:rsidP="00633562">
      <w:pPr>
        <w:pStyle w:val="a5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3F7754CD" w14:textId="77777777" w:rsidR="00C775F6" w:rsidRPr="00EA375C" w:rsidRDefault="00C775F6" w:rsidP="00633562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5FFD1ABB" w14:textId="77777777" w:rsidR="00C775F6" w:rsidRPr="00EA375C" w:rsidRDefault="00C775F6" w:rsidP="006335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0BF7651C" w14:textId="77777777" w:rsidR="00C775F6" w:rsidRPr="00EA375C" w:rsidRDefault="00C775F6" w:rsidP="0063356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Из определения </w:t>
      </w:r>
      <w:proofErr w:type="spellStart"/>
      <w:r w:rsidRPr="00EA375C">
        <w:rPr>
          <w:rFonts w:ascii="Times New Roman" w:hAnsi="Times New Roman" w:cs="Times New Roman"/>
          <w:sz w:val="24"/>
          <w:szCs w:val="24"/>
        </w:rPr>
        <w:t>квазикапитала</w:t>
      </w:r>
      <w:proofErr w:type="spellEnd"/>
      <w:r w:rsidRPr="00EA375C">
        <w:rPr>
          <w:rFonts w:ascii="Times New Roman" w:hAnsi="Times New Roman" w:cs="Times New Roman"/>
          <w:sz w:val="24"/>
          <w:szCs w:val="24"/>
        </w:rPr>
        <w:t xml:space="preserve"> исключена возможность учета письма собственника компании, в котором обозначены планы по финансированию объекта рейтинга, для целей подтверждения субординации обязательств.</w:t>
      </w:r>
    </w:p>
    <w:p w14:paraId="53C0FE17" w14:textId="77777777" w:rsidR="00EE0F01" w:rsidRPr="00EA375C" w:rsidRDefault="00EE0F01" w:rsidP="0063356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«Общий уровень долговой нагрузки» дополнен: «В случае, если долг компании равен 0, фактор оценивается на 1.».</w:t>
      </w:r>
    </w:p>
    <w:p w14:paraId="5613A720" w14:textId="7F767975" w:rsidR="00C775F6" w:rsidRPr="00EA375C" w:rsidRDefault="00C775F6" w:rsidP="00633562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«Общий уровень процентной нагрузки» дополнен: «В случае, если процентные расходы равны 0, фактор оценивается на 1.».</w:t>
      </w:r>
    </w:p>
    <w:p w14:paraId="7F1E78C2" w14:textId="58083772" w:rsidR="00C775F6" w:rsidRPr="00EA375C" w:rsidRDefault="00C775F6" w:rsidP="00E13B3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3E96E" w14:textId="77777777" w:rsidR="00920CED" w:rsidRPr="00EA375C" w:rsidRDefault="00920CED" w:rsidP="00E13B3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C56A" w14:textId="720EDE29" w:rsidR="00C775F6" w:rsidRPr="00EA375C" w:rsidRDefault="009B231F" w:rsidP="009B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</w:t>
      </w:r>
      <w:r w:rsidR="00C775F6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C775F6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нефинансовым компаниям (Казахстан)</w:t>
      </w:r>
    </w:p>
    <w:p w14:paraId="58A89FD3" w14:textId="77777777" w:rsidR="00920CED" w:rsidRPr="00EA375C" w:rsidRDefault="00920CED" w:rsidP="00E1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62DE0" w14:textId="77777777" w:rsidR="00C775F6" w:rsidRPr="00EA375C" w:rsidRDefault="00C775F6" w:rsidP="009B231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4A7AD752" w14:textId="77777777" w:rsidR="00C775F6" w:rsidRPr="00EA375C" w:rsidRDefault="00C775F6" w:rsidP="009B231F">
      <w:pPr>
        <w:pStyle w:val="a5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В определении дефолта дополнена сноска, относящаяся к трактовке Агентством дефолта в случае неисполнения компанией второй части сделки прямого РЕПО.</w:t>
      </w:r>
    </w:p>
    <w:p w14:paraId="65A342AC" w14:textId="77777777" w:rsidR="00C775F6" w:rsidRPr="00EA375C" w:rsidRDefault="00C775F6" w:rsidP="009B231F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5C">
        <w:rPr>
          <w:rFonts w:ascii="Times New Roman" w:hAnsi="Times New Roman" w:cs="Times New Roman"/>
          <w:sz w:val="24"/>
          <w:szCs w:val="24"/>
          <w:u w:val="single"/>
        </w:rPr>
        <w:t>Обновленная редакция:</w:t>
      </w:r>
    </w:p>
    <w:p w14:paraId="4341B12D" w14:textId="77777777" w:rsidR="00C775F6" w:rsidRPr="00EA375C" w:rsidRDefault="00C775F6" w:rsidP="009B2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В случае если стоимость портфеля </w:t>
      </w:r>
      <w:r w:rsidRPr="00EA375C">
        <w:rPr>
          <w:rFonts w:ascii="Times New Roman" w:hAnsi="Times New Roman" w:cs="Times New Roman"/>
          <w:b/>
          <w:bCs/>
          <w:sz w:val="24"/>
          <w:szCs w:val="24"/>
        </w:rPr>
        <w:t>равна либо</w:t>
      </w:r>
      <w:r w:rsidRPr="00EA375C">
        <w:rPr>
          <w:rFonts w:ascii="Times New Roman" w:hAnsi="Times New Roman" w:cs="Times New Roman"/>
          <w:sz w:val="24"/>
          <w:szCs w:val="24"/>
        </w:rP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дефолтом.</w:t>
      </w:r>
    </w:p>
    <w:p w14:paraId="4A36EC61" w14:textId="77777777" w:rsidR="00C775F6" w:rsidRPr="00EA375C" w:rsidRDefault="00C775F6" w:rsidP="009B231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Из определения </w:t>
      </w:r>
      <w:proofErr w:type="spellStart"/>
      <w:r w:rsidRPr="00EA375C">
        <w:rPr>
          <w:rFonts w:ascii="Times New Roman" w:hAnsi="Times New Roman" w:cs="Times New Roman"/>
          <w:sz w:val="24"/>
          <w:szCs w:val="24"/>
        </w:rPr>
        <w:t>квазикапитала</w:t>
      </w:r>
      <w:proofErr w:type="spellEnd"/>
      <w:r w:rsidRPr="00EA375C">
        <w:rPr>
          <w:rFonts w:ascii="Times New Roman" w:hAnsi="Times New Roman" w:cs="Times New Roman"/>
          <w:sz w:val="24"/>
          <w:szCs w:val="24"/>
        </w:rPr>
        <w:t xml:space="preserve"> исключена возможность учета письма собственника компании, в котором обозначены планы по финансированию объекта рейтинга, для целей подтверждения субординации обязательств.</w:t>
      </w:r>
    </w:p>
    <w:p w14:paraId="2DE0998A" w14:textId="77777777" w:rsidR="00EE0F01" w:rsidRPr="00EA375C" w:rsidRDefault="00EE0F01" w:rsidP="009B231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«Общий уровень долговой нагрузки» дополнен: «В случае, если долг компании равен 0, фактор оценивается на 1.».</w:t>
      </w:r>
    </w:p>
    <w:p w14:paraId="6B5AA510" w14:textId="31A5C6AB" w:rsidR="00C775F6" w:rsidRPr="00EA375C" w:rsidRDefault="00C775F6" w:rsidP="009B231F">
      <w:pPr>
        <w:pStyle w:val="a5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Фактор «</w:t>
      </w:r>
      <w:r w:rsidR="00EE0F01" w:rsidRPr="00EA375C">
        <w:rPr>
          <w:rFonts w:ascii="Times New Roman" w:hAnsi="Times New Roman" w:cs="Times New Roman"/>
          <w:sz w:val="24"/>
          <w:szCs w:val="24"/>
        </w:rPr>
        <w:t>Текущий</w:t>
      </w:r>
      <w:r w:rsidRPr="00EA375C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EE0F01" w:rsidRPr="00EA375C">
        <w:rPr>
          <w:rFonts w:ascii="Times New Roman" w:hAnsi="Times New Roman" w:cs="Times New Roman"/>
          <w:sz w:val="24"/>
          <w:szCs w:val="24"/>
        </w:rPr>
        <w:t xml:space="preserve">долговой </w:t>
      </w:r>
      <w:r w:rsidRPr="00EA375C">
        <w:rPr>
          <w:rFonts w:ascii="Times New Roman" w:hAnsi="Times New Roman" w:cs="Times New Roman"/>
          <w:sz w:val="24"/>
          <w:szCs w:val="24"/>
        </w:rPr>
        <w:t xml:space="preserve">нагрузки» дополнен: «В случае, если </w:t>
      </w:r>
      <w:r w:rsidR="00EE0F01" w:rsidRPr="00EA375C">
        <w:rPr>
          <w:rFonts w:ascii="Times New Roman" w:hAnsi="Times New Roman" w:cs="Times New Roman"/>
          <w:sz w:val="24"/>
          <w:szCs w:val="24"/>
        </w:rPr>
        <w:t>выплаты по долгу</w:t>
      </w:r>
      <w:r w:rsidRPr="00EA375C">
        <w:rPr>
          <w:rFonts w:ascii="Times New Roman" w:hAnsi="Times New Roman" w:cs="Times New Roman"/>
          <w:sz w:val="24"/>
          <w:szCs w:val="24"/>
        </w:rPr>
        <w:t xml:space="preserve"> равны 0, фактор оценивается на 1.».</w:t>
      </w:r>
    </w:p>
    <w:p w14:paraId="51205E7B" w14:textId="70C7B2EC" w:rsidR="00C775F6" w:rsidRPr="00EA375C" w:rsidRDefault="00C775F6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7F9C7" w14:textId="77777777" w:rsidR="00845438" w:rsidRPr="00EA375C" w:rsidRDefault="00845438" w:rsidP="00E1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6BB41" w14:textId="2E16C8B9" w:rsidR="003E0334" w:rsidRPr="00EA375C" w:rsidRDefault="009B231F" w:rsidP="009B2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8141D5" w:rsidRPr="00EA375C">
        <w:rPr>
          <w:rFonts w:ascii="Times New Roman" w:hAnsi="Times New Roman" w:cs="Times New Roman"/>
          <w:b/>
          <w:sz w:val="24"/>
          <w:szCs w:val="24"/>
        </w:rPr>
        <w:t>етодологи</w:t>
      </w:r>
      <w:r w:rsidRPr="00EA375C">
        <w:rPr>
          <w:rFonts w:ascii="Times New Roman" w:hAnsi="Times New Roman" w:cs="Times New Roman"/>
          <w:b/>
          <w:sz w:val="24"/>
          <w:szCs w:val="24"/>
        </w:rPr>
        <w:t>я</w:t>
      </w:r>
      <w:r w:rsidR="008141D5" w:rsidRPr="00EA375C">
        <w:rPr>
          <w:rFonts w:ascii="Times New Roman" w:hAnsi="Times New Roman" w:cs="Times New Roman"/>
          <w:b/>
          <w:sz w:val="24"/>
          <w:szCs w:val="24"/>
        </w:rPr>
        <w:t xml:space="preserve"> присвоения рейтингов кредитоспособности региональным и муниципальным органам власти Российской Федерации</w:t>
      </w:r>
    </w:p>
    <w:p w14:paraId="45BCFFDC" w14:textId="269F0B59" w:rsidR="003E19BC" w:rsidRPr="00EA375C" w:rsidRDefault="003E19BC" w:rsidP="008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0D59" w14:textId="13015F41" w:rsidR="003E19BC" w:rsidRPr="00EA375C" w:rsidRDefault="008141D5" w:rsidP="009B231F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Термин «рейтинг самостоятельной кредитоспособности» по тексту методологии заменен на «оценку собственной кредитоспособности».</w:t>
      </w:r>
    </w:p>
    <w:p w14:paraId="36AFF045" w14:textId="658E5953" w:rsidR="0004420D" w:rsidRPr="00EA375C" w:rsidRDefault="0004420D" w:rsidP="0004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5BADE" w14:textId="73DE97D5" w:rsidR="0004420D" w:rsidRPr="00EA375C" w:rsidRDefault="0004420D" w:rsidP="0004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E5211" w14:textId="442A0731" w:rsidR="0004420D" w:rsidRPr="00EA375C" w:rsidRDefault="0004420D" w:rsidP="0004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5C">
        <w:rPr>
          <w:rFonts w:ascii="Times New Roman" w:hAnsi="Times New Roman" w:cs="Times New Roman"/>
          <w:b/>
          <w:sz w:val="24"/>
          <w:szCs w:val="24"/>
        </w:rPr>
        <w:t>Методология присвоения рейтингов финансовой надежности негосударственным пенсионным фондам</w:t>
      </w:r>
    </w:p>
    <w:p w14:paraId="1B62BF0A" w14:textId="77777777" w:rsidR="0004420D" w:rsidRPr="00EA375C" w:rsidRDefault="0004420D" w:rsidP="0004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44BDD" w14:textId="77777777" w:rsidR="0004420D" w:rsidRPr="00EA375C" w:rsidRDefault="0004420D" w:rsidP="0004420D">
      <w:pPr>
        <w:pStyle w:val="a5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«Рейтинг самостоятельной финансовой надежности» заменен на «оценку собственной финансовой надежности».</w:t>
      </w:r>
    </w:p>
    <w:p w14:paraId="070F1E07" w14:textId="77777777" w:rsidR="0004420D" w:rsidRPr="00EA375C" w:rsidRDefault="0004420D" w:rsidP="0004420D">
      <w:pPr>
        <w:pStyle w:val="a5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0661551"/>
      <w:r w:rsidRPr="00EA375C">
        <w:rPr>
          <w:rFonts w:ascii="Times New Roman" w:hAnsi="Times New Roman" w:cs="Times New Roman"/>
          <w:sz w:val="24"/>
          <w:szCs w:val="24"/>
        </w:rPr>
        <w:t>В методологию включена ссылка: «Методология применяется в совокупности с методологией оценки внешнего влияния на кредитный рейтинг».</w:t>
      </w:r>
    </w:p>
    <w:bookmarkEnd w:id="7"/>
    <w:p w14:paraId="69FFA39E" w14:textId="77777777" w:rsidR="0004420D" w:rsidRPr="00EA375C" w:rsidRDefault="0004420D" w:rsidP="0004420D">
      <w:pPr>
        <w:pStyle w:val="a5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 xml:space="preserve">Анализ факторов </w:t>
      </w:r>
      <w:bookmarkStart w:id="8" w:name="_Toc13749951"/>
      <w:r w:rsidRPr="00EA375C">
        <w:rPr>
          <w:rFonts w:ascii="Times New Roman" w:hAnsi="Times New Roman" w:cs="Times New Roman"/>
          <w:sz w:val="24"/>
          <w:szCs w:val="24"/>
        </w:rPr>
        <w:t>«Доходность от размещения пенсионных резервов</w:t>
      </w:r>
      <w:bookmarkEnd w:id="8"/>
      <w:r w:rsidRPr="00EA375C">
        <w:rPr>
          <w:rFonts w:ascii="Times New Roman" w:hAnsi="Times New Roman" w:cs="Times New Roman"/>
          <w:sz w:val="24"/>
          <w:szCs w:val="24"/>
        </w:rPr>
        <w:t xml:space="preserve">» и </w:t>
      </w:r>
      <w:bookmarkStart w:id="9" w:name="_Toc13749952"/>
      <w:r w:rsidRPr="00EA375C">
        <w:rPr>
          <w:rFonts w:ascii="Times New Roman" w:hAnsi="Times New Roman" w:cs="Times New Roman"/>
          <w:sz w:val="24"/>
          <w:szCs w:val="24"/>
        </w:rPr>
        <w:t>«Доходность от инвестирования пенсионных накоплений</w:t>
      </w:r>
      <w:bookmarkEnd w:id="9"/>
      <w:r w:rsidRPr="00EA375C">
        <w:rPr>
          <w:rFonts w:ascii="Times New Roman" w:hAnsi="Times New Roman" w:cs="Times New Roman"/>
          <w:sz w:val="24"/>
          <w:szCs w:val="24"/>
        </w:rPr>
        <w:t>» приведен к трем последним завершившимся годам (ранее три года, предшествующих квартальной дате).</w:t>
      </w:r>
    </w:p>
    <w:p w14:paraId="0F34E3A1" w14:textId="77777777" w:rsidR="0004420D" w:rsidRPr="00EA375C" w:rsidRDefault="0004420D" w:rsidP="0004420D">
      <w:pPr>
        <w:pStyle w:val="a5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Изменены критерии оценки факторов «Доходность от размещения пенсионных резервов» и «Доходность от инвестирования пенсионных накоплений» (действующая редакция – 15/20%, обновленная – 12/18%).</w:t>
      </w:r>
    </w:p>
    <w:p w14:paraId="7B0D5B4C" w14:textId="77777777" w:rsidR="0004420D" w:rsidRPr="00EA375C" w:rsidRDefault="0004420D" w:rsidP="0004420D">
      <w:pPr>
        <w:pStyle w:val="a5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Пересмотрены критерии применения фактора поддержки со стороны собственника.</w:t>
      </w:r>
    </w:p>
    <w:p w14:paraId="3D73C7A1" w14:textId="4A745B35" w:rsidR="0004420D" w:rsidRPr="00EA375C" w:rsidRDefault="0004420D" w:rsidP="0004420D">
      <w:pPr>
        <w:pStyle w:val="a5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75C">
        <w:rPr>
          <w:rFonts w:ascii="Times New Roman" w:hAnsi="Times New Roman" w:cs="Times New Roman"/>
          <w:sz w:val="24"/>
          <w:szCs w:val="24"/>
        </w:rPr>
        <w:t>Технические правки.</w:t>
      </w:r>
    </w:p>
    <w:sectPr w:rsidR="0004420D" w:rsidRPr="00EA375C" w:rsidSect="00BD71B6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716E" w14:textId="77777777" w:rsidR="00902E21" w:rsidRDefault="00902E21" w:rsidP="00A10F5B">
      <w:pPr>
        <w:spacing w:after="0" w:line="240" w:lineRule="auto"/>
      </w:pPr>
      <w:r>
        <w:separator/>
      </w:r>
    </w:p>
  </w:endnote>
  <w:endnote w:type="continuationSeparator" w:id="0">
    <w:p w14:paraId="513776EA" w14:textId="77777777" w:rsidR="00902E21" w:rsidRDefault="00902E21" w:rsidP="00A1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345583"/>
      <w:docPartObj>
        <w:docPartGallery w:val="Page Numbers (Bottom of Page)"/>
        <w:docPartUnique/>
      </w:docPartObj>
    </w:sdtPr>
    <w:sdtEndPr/>
    <w:sdtContent>
      <w:p w14:paraId="422EBFFC" w14:textId="78D19B29" w:rsidR="00902E21" w:rsidRDefault="00902E2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85824" w14:textId="77777777" w:rsidR="00902E21" w:rsidRDefault="00902E2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CD5C" w14:textId="77777777" w:rsidR="00902E21" w:rsidRDefault="00902E21" w:rsidP="00A10F5B">
      <w:pPr>
        <w:spacing w:after="0" w:line="240" w:lineRule="auto"/>
      </w:pPr>
      <w:r>
        <w:separator/>
      </w:r>
    </w:p>
  </w:footnote>
  <w:footnote w:type="continuationSeparator" w:id="0">
    <w:p w14:paraId="57ABD330" w14:textId="77777777" w:rsidR="00902E21" w:rsidRDefault="00902E21" w:rsidP="00A1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D48A24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</w:abstractNum>
  <w:abstractNum w:abstractNumId="3" w15:restartNumberingAfterBreak="0">
    <w:nsid w:val="06052DE8"/>
    <w:multiLevelType w:val="hybridMultilevel"/>
    <w:tmpl w:val="B31CC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1319"/>
    <w:multiLevelType w:val="hybridMultilevel"/>
    <w:tmpl w:val="A3DCB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B4468"/>
    <w:multiLevelType w:val="hybridMultilevel"/>
    <w:tmpl w:val="93B8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07AC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355D"/>
    <w:multiLevelType w:val="hybridMultilevel"/>
    <w:tmpl w:val="E170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C87"/>
    <w:multiLevelType w:val="multilevel"/>
    <w:tmpl w:val="FDB24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947CD5"/>
    <w:multiLevelType w:val="hybridMultilevel"/>
    <w:tmpl w:val="9C304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C40DB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4E3"/>
    <w:multiLevelType w:val="hybridMultilevel"/>
    <w:tmpl w:val="71845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724C8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E58B4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5AB4"/>
    <w:multiLevelType w:val="hybridMultilevel"/>
    <w:tmpl w:val="261A1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8E4854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1BC8"/>
    <w:multiLevelType w:val="hybridMultilevel"/>
    <w:tmpl w:val="DB0E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357BA"/>
    <w:multiLevelType w:val="hybridMultilevel"/>
    <w:tmpl w:val="97F8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A5AE6"/>
    <w:multiLevelType w:val="hybridMultilevel"/>
    <w:tmpl w:val="C9C29E6A"/>
    <w:lvl w:ilvl="0" w:tplc="04190005">
      <w:start w:val="1"/>
      <w:numFmt w:val="bullet"/>
      <w:lvlText w:val="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55"/>
        </w:tabs>
        <w:ind w:left="165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3BD10ABB"/>
    <w:multiLevelType w:val="hybridMultilevel"/>
    <w:tmpl w:val="97F8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306D"/>
    <w:multiLevelType w:val="hybridMultilevel"/>
    <w:tmpl w:val="0F54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4AAB"/>
    <w:multiLevelType w:val="hybridMultilevel"/>
    <w:tmpl w:val="97F8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22E19"/>
    <w:multiLevelType w:val="hybridMultilevel"/>
    <w:tmpl w:val="5D82B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C0263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5157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21832"/>
    <w:multiLevelType w:val="hybridMultilevel"/>
    <w:tmpl w:val="2C5E6CA8"/>
    <w:lvl w:ilvl="0" w:tplc="F82A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5A41"/>
    <w:multiLevelType w:val="hybridMultilevel"/>
    <w:tmpl w:val="6B783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25D95"/>
    <w:multiLevelType w:val="hybridMultilevel"/>
    <w:tmpl w:val="D084D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17305"/>
    <w:multiLevelType w:val="hybridMultilevel"/>
    <w:tmpl w:val="BED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42F4"/>
    <w:multiLevelType w:val="hybridMultilevel"/>
    <w:tmpl w:val="A3CA2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29"/>
  </w:num>
  <w:num w:numId="12">
    <w:abstractNumId w:val="3"/>
  </w:num>
  <w:num w:numId="13">
    <w:abstractNumId w:val="9"/>
  </w:num>
  <w:num w:numId="14">
    <w:abstractNumId w:val="27"/>
  </w:num>
  <w:num w:numId="15">
    <w:abstractNumId w:val="11"/>
  </w:num>
  <w:num w:numId="16">
    <w:abstractNumId w:val="26"/>
  </w:num>
  <w:num w:numId="17">
    <w:abstractNumId w:val="13"/>
  </w:num>
  <w:num w:numId="18">
    <w:abstractNumId w:val="19"/>
  </w:num>
  <w:num w:numId="19">
    <w:abstractNumId w:val="8"/>
  </w:num>
  <w:num w:numId="20">
    <w:abstractNumId w:val="18"/>
  </w:num>
  <w:num w:numId="21">
    <w:abstractNumId w:val="12"/>
  </w:num>
  <w:num w:numId="22">
    <w:abstractNumId w:val="10"/>
  </w:num>
  <w:num w:numId="23">
    <w:abstractNumId w:val="24"/>
  </w:num>
  <w:num w:numId="24">
    <w:abstractNumId w:val="21"/>
  </w:num>
  <w:num w:numId="25">
    <w:abstractNumId w:val="17"/>
  </w:num>
  <w:num w:numId="26">
    <w:abstractNumId w:val="15"/>
  </w:num>
  <w:num w:numId="27">
    <w:abstractNumId w:val="25"/>
  </w:num>
  <w:num w:numId="28">
    <w:abstractNumId w:val="6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39"/>
    <w:rsid w:val="0000219C"/>
    <w:rsid w:val="000213CA"/>
    <w:rsid w:val="0004420D"/>
    <w:rsid w:val="000818FC"/>
    <w:rsid w:val="00097018"/>
    <w:rsid w:val="000D27B5"/>
    <w:rsid w:val="000D7898"/>
    <w:rsid w:val="000E2BE1"/>
    <w:rsid w:val="000F0415"/>
    <w:rsid w:val="001071A5"/>
    <w:rsid w:val="00151D97"/>
    <w:rsid w:val="00153199"/>
    <w:rsid w:val="001727FB"/>
    <w:rsid w:val="001B59A8"/>
    <w:rsid w:val="001F5BF7"/>
    <w:rsid w:val="00210A63"/>
    <w:rsid w:val="0023467E"/>
    <w:rsid w:val="00252AEE"/>
    <w:rsid w:val="0026091D"/>
    <w:rsid w:val="00271C95"/>
    <w:rsid w:val="00274757"/>
    <w:rsid w:val="002767AA"/>
    <w:rsid w:val="002A5CEE"/>
    <w:rsid w:val="002A6C43"/>
    <w:rsid w:val="002E316E"/>
    <w:rsid w:val="0030378A"/>
    <w:rsid w:val="00315663"/>
    <w:rsid w:val="00341F9B"/>
    <w:rsid w:val="00346006"/>
    <w:rsid w:val="0037367B"/>
    <w:rsid w:val="003A063C"/>
    <w:rsid w:val="003A07F5"/>
    <w:rsid w:val="003D2B14"/>
    <w:rsid w:val="003E0334"/>
    <w:rsid w:val="003E19BC"/>
    <w:rsid w:val="003F0D0B"/>
    <w:rsid w:val="003F2F06"/>
    <w:rsid w:val="004157D6"/>
    <w:rsid w:val="0047511A"/>
    <w:rsid w:val="00491FA0"/>
    <w:rsid w:val="00496FE3"/>
    <w:rsid w:val="004C74B9"/>
    <w:rsid w:val="004D04E3"/>
    <w:rsid w:val="00503AC2"/>
    <w:rsid w:val="00533193"/>
    <w:rsid w:val="00536653"/>
    <w:rsid w:val="005533CF"/>
    <w:rsid w:val="00564B0A"/>
    <w:rsid w:val="00565414"/>
    <w:rsid w:val="0056726E"/>
    <w:rsid w:val="00572018"/>
    <w:rsid w:val="00606741"/>
    <w:rsid w:val="006161A9"/>
    <w:rsid w:val="00633562"/>
    <w:rsid w:val="0065512C"/>
    <w:rsid w:val="00661803"/>
    <w:rsid w:val="006D5E81"/>
    <w:rsid w:val="006D70C9"/>
    <w:rsid w:val="006E35D7"/>
    <w:rsid w:val="00754A93"/>
    <w:rsid w:val="007E0DA6"/>
    <w:rsid w:val="007E267C"/>
    <w:rsid w:val="007E323E"/>
    <w:rsid w:val="008111C2"/>
    <w:rsid w:val="008141D5"/>
    <w:rsid w:val="00845438"/>
    <w:rsid w:val="00882266"/>
    <w:rsid w:val="00893222"/>
    <w:rsid w:val="008A301D"/>
    <w:rsid w:val="008A4146"/>
    <w:rsid w:val="008E41FE"/>
    <w:rsid w:val="008F1200"/>
    <w:rsid w:val="00902E21"/>
    <w:rsid w:val="00903437"/>
    <w:rsid w:val="00920CED"/>
    <w:rsid w:val="009318B2"/>
    <w:rsid w:val="0094701D"/>
    <w:rsid w:val="00950B20"/>
    <w:rsid w:val="00960C8D"/>
    <w:rsid w:val="009B231F"/>
    <w:rsid w:val="009D794D"/>
    <w:rsid w:val="00A10F5B"/>
    <w:rsid w:val="00A5352E"/>
    <w:rsid w:val="00A70838"/>
    <w:rsid w:val="00AA6912"/>
    <w:rsid w:val="00AE55CE"/>
    <w:rsid w:val="00B6061B"/>
    <w:rsid w:val="00B8177E"/>
    <w:rsid w:val="00B9118E"/>
    <w:rsid w:val="00B96415"/>
    <w:rsid w:val="00BB2C17"/>
    <w:rsid w:val="00BC0489"/>
    <w:rsid w:val="00BD71B6"/>
    <w:rsid w:val="00BE5B5C"/>
    <w:rsid w:val="00C27A01"/>
    <w:rsid w:val="00C41DE2"/>
    <w:rsid w:val="00C775F6"/>
    <w:rsid w:val="00CD28F1"/>
    <w:rsid w:val="00D00D9A"/>
    <w:rsid w:val="00D1787E"/>
    <w:rsid w:val="00D22E25"/>
    <w:rsid w:val="00D64131"/>
    <w:rsid w:val="00D71A81"/>
    <w:rsid w:val="00D95AA9"/>
    <w:rsid w:val="00DD7389"/>
    <w:rsid w:val="00DF5839"/>
    <w:rsid w:val="00E13B31"/>
    <w:rsid w:val="00E57200"/>
    <w:rsid w:val="00E741CA"/>
    <w:rsid w:val="00E95F4B"/>
    <w:rsid w:val="00EA375C"/>
    <w:rsid w:val="00EC2D22"/>
    <w:rsid w:val="00ED5BF8"/>
    <w:rsid w:val="00EE0F01"/>
    <w:rsid w:val="00F17273"/>
    <w:rsid w:val="00F26B44"/>
    <w:rsid w:val="00F33E7C"/>
    <w:rsid w:val="00F5000E"/>
    <w:rsid w:val="00FC19C6"/>
    <w:rsid w:val="00FD47B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6A1"/>
  <w15:chartTrackingRefBased/>
  <w15:docId w15:val="{86D595FE-F910-4BCC-9872-A11D8BD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E3"/>
  </w:style>
  <w:style w:type="paragraph" w:styleId="3">
    <w:name w:val="heading 3"/>
    <w:basedOn w:val="a"/>
    <w:next w:val="a"/>
    <w:link w:val="30"/>
    <w:qFormat/>
    <w:rsid w:val="00BE5B5C"/>
    <w:pPr>
      <w:keepNext/>
      <w:numPr>
        <w:ilvl w:val="2"/>
        <w:numId w:val="2"/>
      </w:numPr>
      <w:suppressAutoHyphens/>
      <w:spacing w:after="0" w:line="240" w:lineRule="auto"/>
      <w:ind w:left="0"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BE5B5C"/>
    <w:pPr>
      <w:keepNext/>
      <w:numPr>
        <w:ilvl w:val="6"/>
        <w:numId w:val="2"/>
      </w:numPr>
      <w:suppressAutoHyphens/>
      <w:overflowPunct w:val="0"/>
      <w:autoSpaceDE w:val="0"/>
      <w:spacing w:before="120" w:after="0" w:line="36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E5B5C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95"/>
    <w:rPr>
      <w:rFonts w:ascii="Segoe UI" w:hAnsi="Segoe UI" w:cs="Segoe UI"/>
      <w:sz w:val="18"/>
      <w:szCs w:val="18"/>
    </w:rPr>
  </w:style>
  <w:style w:type="paragraph" w:customStyle="1" w:styleId="RAEXdefault">
    <w:name w:val="RAEX default"/>
    <w:basedOn w:val="a"/>
    <w:next w:val="a"/>
    <w:link w:val="RAEXdefault0"/>
    <w:qFormat/>
    <w:rsid w:val="00271C95"/>
    <w:pPr>
      <w:spacing w:after="0" w:line="240" w:lineRule="auto"/>
      <w:contextualSpacing/>
      <w:jc w:val="both"/>
    </w:pPr>
    <w:rPr>
      <w:rFonts w:ascii="Times New Roman" w:hAnsi="Times New Roman" w:cstheme="minorHAnsi"/>
      <w:sz w:val="24"/>
      <w:lang w:val="en-US"/>
    </w:rPr>
  </w:style>
  <w:style w:type="character" w:customStyle="1" w:styleId="RAEXdefault0">
    <w:name w:val="RAEX default Знак"/>
    <w:basedOn w:val="a0"/>
    <w:link w:val="RAEXdefault"/>
    <w:rsid w:val="00271C95"/>
    <w:rPr>
      <w:rFonts w:ascii="Times New Roman" w:hAnsi="Times New Roman" w:cstheme="minorHAnsi"/>
      <w:sz w:val="24"/>
      <w:lang w:val="en-US"/>
    </w:rPr>
  </w:style>
  <w:style w:type="paragraph" w:styleId="a5">
    <w:name w:val="List Paragraph"/>
    <w:basedOn w:val="a"/>
    <w:uiPriority w:val="34"/>
    <w:qFormat/>
    <w:rsid w:val="00661803"/>
    <w:pPr>
      <w:ind w:left="720"/>
      <w:contextualSpacing/>
    </w:pPr>
  </w:style>
  <w:style w:type="character" w:styleId="a6">
    <w:name w:val="footnote reference"/>
    <w:uiPriority w:val="99"/>
    <w:rsid w:val="00A10F5B"/>
    <w:rPr>
      <w:vertAlign w:val="superscript"/>
    </w:rPr>
  </w:style>
  <w:style w:type="paragraph" w:styleId="a7">
    <w:name w:val="footnote text"/>
    <w:basedOn w:val="a"/>
    <w:link w:val="a8"/>
    <w:uiPriority w:val="99"/>
    <w:rsid w:val="00A10F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A10F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E5B5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BE5B5C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E5B5C"/>
    <w:rPr>
      <w:rFonts w:ascii="Arial" w:eastAsia="Times New Roman" w:hAnsi="Arial" w:cs="Arial"/>
      <w:lang w:eastAsia="ar-SA"/>
    </w:rPr>
  </w:style>
  <w:style w:type="paragraph" w:styleId="a9">
    <w:name w:val="Normal (Web)"/>
    <w:basedOn w:val="a"/>
    <w:rsid w:val="00BE5B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rsid w:val="00BE5B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E5B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F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0F04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F04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F04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04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0415"/>
    <w:rPr>
      <w:b/>
      <w:bCs/>
      <w:sz w:val="20"/>
      <w:szCs w:val="20"/>
    </w:rPr>
  </w:style>
  <w:style w:type="character" w:customStyle="1" w:styleId="af2">
    <w:name w:val="Символ сноски"/>
    <w:rsid w:val="0030378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16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61A9"/>
  </w:style>
  <w:style w:type="paragraph" w:styleId="af5">
    <w:name w:val="footer"/>
    <w:basedOn w:val="a"/>
    <w:link w:val="af6"/>
    <w:uiPriority w:val="99"/>
    <w:unhideWhenUsed/>
    <w:rsid w:val="00616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61A9"/>
  </w:style>
  <w:style w:type="character" w:customStyle="1" w:styleId="WW8Num2z2">
    <w:name w:val="WW8Num2z2"/>
    <w:rsid w:val="0060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B42E-4780-4E06-873F-DBCD1124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</dc:creator>
  <cp:keywords/>
  <dc:description/>
  <cp:lastModifiedBy>Стукан Денис</cp:lastModifiedBy>
  <cp:revision>62</cp:revision>
  <dcterms:created xsi:type="dcterms:W3CDTF">2021-07-07T12:24:00Z</dcterms:created>
  <dcterms:modified xsi:type="dcterms:W3CDTF">2022-05-16T11:46:00Z</dcterms:modified>
</cp:coreProperties>
</file>